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648" w:rsidRPr="00753648" w:rsidRDefault="00753648" w:rsidP="00C548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2201" w:rsidRDefault="00202201" w:rsidP="00253C72">
      <w:pPr>
        <w:shd w:val="clear" w:color="auto" w:fill="FFFFFF"/>
        <w:spacing w:after="405" w:line="240" w:lineRule="auto"/>
        <w:rPr>
          <w:rFonts w:eastAsia="Times New Roman" w:cs="Times New Roman"/>
          <w:color w:val="262626"/>
          <w:sz w:val="26"/>
          <w:szCs w:val="26"/>
        </w:rPr>
      </w:pPr>
    </w:p>
    <w:p w:rsidR="006F6E8B" w:rsidRPr="006F6E8B" w:rsidRDefault="006F6E8B" w:rsidP="006F6E8B">
      <w:pPr>
        <w:shd w:val="clear" w:color="auto" w:fill="FFFFFF"/>
        <w:spacing w:after="180" w:line="240" w:lineRule="auto"/>
        <w:rPr>
          <w:rFonts w:ascii="Open Sans" w:eastAsia="Times New Roman" w:hAnsi="Open Sans" w:cs="Open Sans"/>
          <w:color w:val="262626"/>
        </w:rPr>
      </w:pPr>
      <w:bookmarkStart w:id="0" w:name="_GoBack"/>
      <w:bookmarkEnd w:id="0"/>
    </w:p>
    <w:p w:rsidR="006F6E8B" w:rsidRPr="006F6E8B" w:rsidRDefault="006F6E8B" w:rsidP="006F6E8B">
      <w:pPr>
        <w:spacing w:after="60" w:line="240" w:lineRule="auto"/>
        <w:ind w:right="700"/>
        <w:outlineLvl w:val="0"/>
        <w:rPr>
          <w:rFonts w:ascii="Arial" w:eastAsia="Times New Roman" w:hAnsi="Arial" w:cs="Arial"/>
          <w:b/>
          <w:bCs/>
          <w:color w:val="22232F"/>
          <w:kern w:val="36"/>
        </w:rPr>
      </w:pPr>
      <w:r w:rsidRPr="006F6E8B">
        <w:rPr>
          <w:rFonts w:ascii="Arial" w:eastAsia="Times New Roman" w:hAnsi="Arial" w:cs="Arial"/>
          <w:b/>
          <w:bCs/>
          <w:color w:val="22232F"/>
          <w:kern w:val="36"/>
        </w:rPr>
        <w:t xml:space="preserve">Роль системы саморегулирования </w:t>
      </w:r>
      <w:r w:rsidRPr="006F6E8B">
        <w:rPr>
          <w:rFonts w:ascii="Arial" w:eastAsia="Times New Roman" w:hAnsi="Arial" w:cs="Arial"/>
          <w:b/>
          <w:bCs/>
          <w:color w:val="22232F"/>
          <w:kern w:val="36"/>
          <w:shd w:val="clear" w:color="auto" w:fill="FFFF00"/>
        </w:rPr>
        <w:t>в строительстве</w:t>
      </w:r>
      <w:r w:rsidRPr="006F6E8B">
        <w:rPr>
          <w:rFonts w:ascii="Arial" w:eastAsia="Times New Roman" w:hAnsi="Arial" w:cs="Arial"/>
          <w:b/>
          <w:bCs/>
          <w:color w:val="22232F"/>
          <w:kern w:val="36"/>
        </w:rPr>
        <w:t xml:space="preserve"> обсудили в ТПП РФ</w:t>
      </w:r>
    </w:p>
    <w:p w:rsidR="006F6E8B" w:rsidRPr="006F6E8B" w:rsidRDefault="006F6E8B" w:rsidP="006F6E8B">
      <w:pPr>
        <w:spacing w:after="0"/>
        <w:rPr>
          <w:rFonts w:ascii="Arial" w:eastAsia="Times New Roman" w:hAnsi="Arial" w:cs="Arial"/>
          <w:b/>
          <w:color w:val="FF0000"/>
        </w:rPr>
      </w:pPr>
      <w:r w:rsidRPr="006F6E8B">
        <w:rPr>
          <w:rFonts w:ascii="Arial" w:eastAsia="Times New Roman" w:hAnsi="Arial" w:cs="Arial"/>
          <w:b/>
          <w:color w:val="FF0000"/>
        </w:rPr>
        <w:t>17.02.2022</w:t>
      </w:r>
    </w:p>
    <w:p w:rsidR="006F6E8B" w:rsidRPr="006F6E8B" w:rsidRDefault="006F6E8B" w:rsidP="006F6E8B">
      <w:pPr>
        <w:spacing w:after="120" w:line="120" w:lineRule="atLeast"/>
        <w:jc w:val="both"/>
        <w:rPr>
          <w:rFonts w:ascii="Arial" w:eastAsia="Times New Roman" w:hAnsi="Arial" w:cs="Arial"/>
          <w:color w:val="22232F"/>
        </w:rPr>
      </w:pPr>
      <w:r w:rsidRPr="006F6E8B">
        <w:rPr>
          <w:rFonts w:ascii="Arial" w:eastAsia="Times New Roman" w:hAnsi="Arial" w:cs="Arial"/>
          <w:color w:val="22232F"/>
        </w:rPr>
        <w:t>Совещание «Саморегулирование строительной отрасли: оценка состояния, существующие проблемы и их решения» состоялось на площадке Торгово-промышленной палаты Российской Федерации в четверг, 17 февраля. Это уже второе мероприятие в рамках выполнения поручений Президента РФ от 30 декабря 2021 г. № Пр-2549 по вопросам саморегулирования в строительстве – первое прошло 7 февраля </w:t>
      </w:r>
      <w:hyperlink r:id="rId9" w:tgtFrame="_blank" w:history="1">
        <w:r w:rsidRPr="006F6E8B">
          <w:rPr>
            <w:rFonts w:ascii="Arial" w:eastAsia="Times New Roman" w:hAnsi="Arial" w:cs="Arial"/>
            <w:color w:val="0078C6"/>
            <w:u w:val="single"/>
          </w:rPr>
          <w:t>на площадке Российского союза промышленников и предпринимателей</w:t>
        </w:r>
      </w:hyperlink>
      <w:r w:rsidRPr="006F6E8B">
        <w:rPr>
          <w:rFonts w:ascii="Arial" w:eastAsia="Times New Roman" w:hAnsi="Arial" w:cs="Arial"/>
          <w:color w:val="22232F"/>
        </w:rPr>
        <w:t>.</w:t>
      </w:r>
    </w:p>
    <w:p w:rsidR="006F6E8B" w:rsidRPr="006F6E8B" w:rsidRDefault="006F6E8B" w:rsidP="006F6E8B">
      <w:pPr>
        <w:spacing w:after="120" w:line="120" w:lineRule="atLeast"/>
        <w:jc w:val="both"/>
        <w:rPr>
          <w:rFonts w:ascii="Arial" w:eastAsia="Times New Roman" w:hAnsi="Arial" w:cs="Arial"/>
          <w:color w:val="22232F"/>
        </w:rPr>
      </w:pPr>
      <w:r w:rsidRPr="006F6E8B">
        <w:rPr>
          <w:rFonts w:ascii="Arial" w:eastAsia="Times New Roman" w:hAnsi="Arial" w:cs="Arial"/>
          <w:color w:val="22232F"/>
        </w:rPr>
        <w:t xml:space="preserve">Участие в дискуссии, которое </w:t>
      </w:r>
      <w:proofErr w:type="spellStart"/>
      <w:r w:rsidRPr="006F6E8B">
        <w:rPr>
          <w:rFonts w:ascii="Arial" w:eastAsia="Times New Roman" w:hAnsi="Arial" w:cs="Arial"/>
          <w:color w:val="22232F"/>
        </w:rPr>
        <w:t>модерировал</w:t>
      </w:r>
      <w:proofErr w:type="spellEnd"/>
      <w:r w:rsidRPr="006F6E8B">
        <w:rPr>
          <w:rFonts w:ascii="Arial" w:eastAsia="Times New Roman" w:hAnsi="Arial" w:cs="Arial"/>
          <w:color w:val="22232F"/>
        </w:rPr>
        <w:t xml:space="preserve"> председатель Комитета Торгово-промышленной палаты РФ по предпринимательству в сфере строительства Ефим </w:t>
      </w:r>
      <w:proofErr w:type="spellStart"/>
      <w:r w:rsidRPr="006F6E8B">
        <w:rPr>
          <w:rFonts w:ascii="Arial" w:eastAsia="Times New Roman" w:hAnsi="Arial" w:cs="Arial"/>
          <w:color w:val="22232F"/>
        </w:rPr>
        <w:t>Басин</w:t>
      </w:r>
      <w:proofErr w:type="spellEnd"/>
      <w:r w:rsidRPr="006F6E8B">
        <w:rPr>
          <w:rFonts w:ascii="Arial" w:eastAsia="Times New Roman" w:hAnsi="Arial" w:cs="Arial"/>
          <w:color w:val="22232F"/>
        </w:rPr>
        <w:t xml:space="preserve">, приняли президент ТПП РФ Сергей </w:t>
      </w:r>
      <w:proofErr w:type="spellStart"/>
      <w:r w:rsidRPr="006F6E8B">
        <w:rPr>
          <w:rFonts w:ascii="Arial" w:eastAsia="Times New Roman" w:hAnsi="Arial" w:cs="Arial"/>
          <w:color w:val="22232F"/>
        </w:rPr>
        <w:t>Катырин</w:t>
      </w:r>
      <w:proofErr w:type="spellEnd"/>
      <w:r w:rsidRPr="006F6E8B">
        <w:rPr>
          <w:rFonts w:ascii="Arial" w:eastAsia="Times New Roman" w:hAnsi="Arial" w:cs="Arial"/>
          <w:color w:val="22232F"/>
        </w:rPr>
        <w:t xml:space="preserve">, президент Российского Союза строителей Владимир Яковлев и вице-президент РСС Анвар </w:t>
      </w:r>
      <w:proofErr w:type="spellStart"/>
      <w:r w:rsidRPr="006F6E8B">
        <w:rPr>
          <w:rFonts w:ascii="Arial" w:eastAsia="Times New Roman" w:hAnsi="Arial" w:cs="Arial"/>
          <w:color w:val="22232F"/>
        </w:rPr>
        <w:t>Шамузафаров</w:t>
      </w:r>
      <w:proofErr w:type="spellEnd"/>
      <w:r w:rsidRPr="006F6E8B">
        <w:rPr>
          <w:rFonts w:ascii="Arial" w:eastAsia="Times New Roman" w:hAnsi="Arial" w:cs="Arial"/>
          <w:color w:val="22232F"/>
        </w:rPr>
        <w:t xml:space="preserve">, президент НОПРИЗ Михаил Посохин и президент НОСТРОЙ Антон Глушков. По видео-конференц-связи выступили замминистра строительства и жилищно-коммунального хозяйства РФ Сергей Музыченко, директор Правового департамента Минстроя России Олег Сперанский, вице-президент РСПП Александр </w:t>
      </w:r>
      <w:proofErr w:type="spellStart"/>
      <w:r w:rsidRPr="006F6E8B">
        <w:rPr>
          <w:rFonts w:ascii="Arial" w:eastAsia="Times New Roman" w:hAnsi="Arial" w:cs="Arial"/>
          <w:color w:val="22232F"/>
        </w:rPr>
        <w:t>Мурычев</w:t>
      </w:r>
      <w:proofErr w:type="spellEnd"/>
      <w:r w:rsidRPr="006F6E8B">
        <w:rPr>
          <w:rFonts w:ascii="Arial" w:eastAsia="Times New Roman" w:hAnsi="Arial" w:cs="Arial"/>
          <w:color w:val="22232F"/>
        </w:rPr>
        <w:t>. Также участниками совещания стали представители профессиональных объединений, саморегулируемых организаций (СРО) и ряда строительных компаний.</w:t>
      </w:r>
    </w:p>
    <w:p w:rsidR="006F6E8B" w:rsidRPr="006F6E8B" w:rsidRDefault="006F6E8B" w:rsidP="006F6E8B">
      <w:pPr>
        <w:spacing w:after="120" w:line="120" w:lineRule="atLeast"/>
        <w:jc w:val="both"/>
        <w:rPr>
          <w:rFonts w:ascii="Arial" w:eastAsia="Times New Roman" w:hAnsi="Arial" w:cs="Arial"/>
          <w:color w:val="22232F"/>
        </w:rPr>
      </w:pPr>
      <w:r w:rsidRPr="006F6E8B">
        <w:rPr>
          <w:rFonts w:ascii="Arial" w:eastAsia="Times New Roman" w:hAnsi="Arial" w:cs="Arial"/>
          <w:color w:val="22232F"/>
        </w:rPr>
        <w:t xml:space="preserve">Открывая совещание, Ефим </w:t>
      </w:r>
      <w:proofErr w:type="spellStart"/>
      <w:r w:rsidRPr="006F6E8B">
        <w:rPr>
          <w:rFonts w:ascii="Arial" w:eastAsia="Times New Roman" w:hAnsi="Arial" w:cs="Arial"/>
          <w:color w:val="22232F"/>
        </w:rPr>
        <w:t>Басин</w:t>
      </w:r>
      <w:proofErr w:type="spellEnd"/>
      <w:r w:rsidRPr="006F6E8B">
        <w:rPr>
          <w:rFonts w:ascii="Arial" w:eastAsia="Times New Roman" w:hAnsi="Arial" w:cs="Arial"/>
          <w:color w:val="22232F"/>
        </w:rPr>
        <w:t xml:space="preserve"> сказал, что главная цель встречи – выработка единой позиции органов государственной власти и профессионального сообщества по механизмам регулирования строительной отраслью. Он отметил, что СРО обладают колоссальным потенциалом, который уже сегодня активно используется для решения стратегических задач по развитию строительной отрасли.</w:t>
      </w:r>
    </w:p>
    <w:p w:rsidR="006F6E8B" w:rsidRPr="006F6E8B" w:rsidRDefault="006F6E8B" w:rsidP="006F6E8B">
      <w:pPr>
        <w:spacing w:after="120" w:line="120" w:lineRule="atLeast"/>
        <w:jc w:val="both"/>
        <w:rPr>
          <w:rFonts w:ascii="Arial" w:eastAsia="Times New Roman" w:hAnsi="Arial" w:cs="Arial"/>
          <w:color w:val="22232F"/>
        </w:rPr>
      </w:pPr>
      <w:r w:rsidRPr="006F6E8B">
        <w:rPr>
          <w:rFonts w:ascii="Arial" w:eastAsia="Times New Roman" w:hAnsi="Arial" w:cs="Arial"/>
          <w:color w:val="22232F"/>
        </w:rPr>
        <w:t xml:space="preserve">Сергей </w:t>
      </w:r>
      <w:proofErr w:type="spellStart"/>
      <w:r w:rsidRPr="006F6E8B">
        <w:rPr>
          <w:rFonts w:ascii="Arial" w:eastAsia="Times New Roman" w:hAnsi="Arial" w:cs="Arial"/>
          <w:color w:val="22232F"/>
        </w:rPr>
        <w:t>Катырин</w:t>
      </w:r>
      <w:proofErr w:type="spellEnd"/>
      <w:r w:rsidRPr="006F6E8B">
        <w:rPr>
          <w:rFonts w:ascii="Arial" w:eastAsia="Times New Roman" w:hAnsi="Arial" w:cs="Arial"/>
          <w:color w:val="22232F"/>
        </w:rPr>
        <w:t xml:space="preserve"> отметил, что в целом институт саморегулирования имеет позитивные тенденции развития, однако ему требуется законодательная «</w:t>
      </w:r>
      <w:proofErr w:type="spellStart"/>
      <w:r w:rsidRPr="006F6E8B">
        <w:rPr>
          <w:rFonts w:ascii="Arial" w:eastAsia="Times New Roman" w:hAnsi="Arial" w:cs="Arial"/>
          <w:color w:val="22232F"/>
        </w:rPr>
        <w:t>донастройка</w:t>
      </w:r>
      <w:proofErr w:type="spellEnd"/>
      <w:r w:rsidRPr="006F6E8B">
        <w:rPr>
          <w:rFonts w:ascii="Arial" w:eastAsia="Times New Roman" w:hAnsi="Arial" w:cs="Arial"/>
          <w:color w:val="22232F"/>
        </w:rPr>
        <w:t>», в том числе в сфере строительства.</w:t>
      </w:r>
    </w:p>
    <w:p w:rsidR="006F6E8B" w:rsidRPr="006F6E8B" w:rsidRDefault="006F6E8B" w:rsidP="006F6E8B">
      <w:pPr>
        <w:spacing w:after="120" w:line="120" w:lineRule="atLeast"/>
        <w:jc w:val="both"/>
        <w:rPr>
          <w:rFonts w:ascii="Arial" w:eastAsia="Times New Roman" w:hAnsi="Arial" w:cs="Arial"/>
          <w:color w:val="22232F"/>
        </w:rPr>
      </w:pPr>
      <w:r w:rsidRPr="006F6E8B">
        <w:rPr>
          <w:rFonts w:ascii="Arial" w:eastAsia="Times New Roman" w:hAnsi="Arial" w:cs="Arial"/>
          <w:color w:val="22232F"/>
        </w:rPr>
        <w:t>Владимир Яковлев сказал, что для повышения прозрачности взаимодействия ключевых игроков рынка нужны конкретные шаги. В частности – внедрение независимой оценки квалификации специалистов. Это необходимо и для решения кадрового дефицита.</w:t>
      </w:r>
    </w:p>
    <w:p w:rsidR="006F6E8B" w:rsidRPr="006F6E8B" w:rsidRDefault="006F6E8B" w:rsidP="006F6E8B">
      <w:pPr>
        <w:spacing w:after="120" w:line="120" w:lineRule="atLeast"/>
        <w:jc w:val="both"/>
        <w:rPr>
          <w:rFonts w:ascii="Arial" w:eastAsia="Times New Roman" w:hAnsi="Arial" w:cs="Arial"/>
          <w:color w:val="22232F"/>
        </w:rPr>
      </w:pPr>
      <w:r w:rsidRPr="006F6E8B">
        <w:rPr>
          <w:rFonts w:ascii="Arial" w:eastAsia="Times New Roman" w:hAnsi="Arial" w:cs="Arial"/>
          <w:color w:val="22232F"/>
        </w:rPr>
        <w:t xml:space="preserve">Антон Глушков в своем выступлении подчеркнул, что за 13 лет существования системы саморегулирования в строительстве проделана колоссальная работа по развитию </w:t>
      </w:r>
      <w:proofErr w:type="spellStart"/>
      <w:r w:rsidRPr="006F6E8B">
        <w:rPr>
          <w:rFonts w:ascii="Arial" w:eastAsia="Times New Roman" w:hAnsi="Arial" w:cs="Arial"/>
          <w:color w:val="22232F"/>
        </w:rPr>
        <w:t>стройкомплекса</w:t>
      </w:r>
      <w:proofErr w:type="spellEnd"/>
      <w:r w:rsidRPr="006F6E8B">
        <w:rPr>
          <w:rFonts w:ascii="Arial" w:eastAsia="Times New Roman" w:hAnsi="Arial" w:cs="Arial"/>
          <w:color w:val="22232F"/>
        </w:rPr>
        <w:t xml:space="preserve">. Особый акцент президент НОСТРОЙ сделал на том, что инициативы </w:t>
      </w:r>
      <w:proofErr w:type="spellStart"/>
      <w:r w:rsidRPr="006F6E8B">
        <w:rPr>
          <w:rFonts w:ascii="Arial" w:eastAsia="Times New Roman" w:hAnsi="Arial" w:cs="Arial"/>
          <w:color w:val="22232F"/>
        </w:rPr>
        <w:t>профсообщества</w:t>
      </w:r>
      <w:proofErr w:type="spellEnd"/>
      <w:r w:rsidRPr="006F6E8B">
        <w:rPr>
          <w:rFonts w:ascii="Arial" w:eastAsia="Times New Roman" w:hAnsi="Arial" w:cs="Arial"/>
          <w:color w:val="22232F"/>
        </w:rPr>
        <w:t xml:space="preserve"> находят свое отражение в нормативно-правовом регулировании отрасли, а само </w:t>
      </w:r>
      <w:proofErr w:type="spellStart"/>
      <w:r w:rsidRPr="006F6E8B">
        <w:rPr>
          <w:rFonts w:ascii="Arial" w:eastAsia="Times New Roman" w:hAnsi="Arial" w:cs="Arial"/>
          <w:color w:val="22232F"/>
        </w:rPr>
        <w:t>нацобъединение</w:t>
      </w:r>
      <w:proofErr w:type="spellEnd"/>
      <w:r w:rsidRPr="006F6E8B">
        <w:rPr>
          <w:rFonts w:ascii="Arial" w:eastAsia="Times New Roman" w:hAnsi="Arial" w:cs="Arial"/>
          <w:color w:val="22232F"/>
        </w:rPr>
        <w:t xml:space="preserve"> сегодня берет на себя гораздо больше функций и ответственности, чем это определено в </w:t>
      </w:r>
      <w:proofErr w:type="spellStart"/>
      <w:r w:rsidRPr="006F6E8B">
        <w:rPr>
          <w:rFonts w:ascii="Arial" w:eastAsia="Times New Roman" w:hAnsi="Arial" w:cs="Arial"/>
          <w:color w:val="22232F"/>
        </w:rPr>
        <w:t>ГрК</w:t>
      </w:r>
      <w:proofErr w:type="spellEnd"/>
      <w:r w:rsidRPr="006F6E8B">
        <w:rPr>
          <w:rFonts w:ascii="Arial" w:eastAsia="Times New Roman" w:hAnsi="Arial" w:cs="Arial"/>
          <w:color w:val="22232F"/>
        </w:rPr>
        <w:t xml:space="preserve"> РФ.</w:t>
      </w:r>
    </w:p>
    <w:p w:rsidR="006F6E8B" w:rsidRPr="006F6E8B" w:rsidRDefault="006F6E8B" w:rsidP="006F6E8B">
      <w:pPr>
        <w:spacing w:after="120" w:line="120" w:lineRule="atLeast"/>
        <w:jc w:val="both"/>
        <w:rPr>
          <w:rFonts w:ascii="Arial" w:eastAsia="Times New Roman" w:hAnsi="Arial" w:cs="Arial"/>
          <w:color w:val="22232F"/>
        </w:rPr>
      </w:pPr>
      <w:r w:rsidRPr="006F6E8B">
        <w:rPr>
          <w:rFonts w:ascii="Arial" w:eastAsia="Times New Roman" w:hAnsi="Arial" w:cs="Arial"/>
          <w:color w:val="22232F"/>
        </w:rPr>
        <w:t xml:space="preserve">Спикер перечислил основные направления, по которым сегодня работает </w:t>
      </w:r>
      <w:proofErr w:type="spellStart"/>
      <w:r w:rsidRPr="006F6E8B">
        <w:rPr>
          <w:rFonts w:ascii="Arial" w:eastAsia="Times New Roman" w:hAnsi="Arial" w:cs="Arial"/>
          <w:color w:val="22232F"/>
        </w:rPr>
        <w:t>нацобъединение</w:t>
      </w:r>
      <w:proofErr w:type="spellEnd"/>
      <w:r w:rsidRPr="006F6E8B">
        <w:rPr>
          <w:rFonts w:ascii="Arial" w:eastAsia="Times New Roman" w:hAnsi="Arial" w:cs="Arial"/>
          <w:color w:val="22232F"/>
        </w:rPr>
        <w:t>. В частности, он отметил работу НОСТРОЙ по формированию предложений в проект Стратегии развития строительной отрасли и ЖКХ РФ до 2030 года с прогнозом на период до 2035 года, сокращению избыточного нормирования в строительстве в рамках «регуляторной гильотины», а также реформированию ценообразования для преодоления растущего разрыва между сметной стоимостью и рыночными ценами, чтобы отрасль продолжала дальше работать непрерывно и качественно и в срок выполнять проекты в рамках государственного и муниципального заказа.</w:t>
      </w:r>
    </w:p>
    <w:p w:rsidR="006F6E8B" w:rsidRPr="006F6E8B" w:rsidRDefault="006F6E8B" w:rsidP="006F6E8B">
      <w:pPr>
        <w:spacing w:after="120" w:line="120" w:lineRule="atLeast"/>
        <w:jc w:val="both"/>
        <w:rPr>
          <w:rFonts w:ascii="Arial" w:eastAsia="Times New Roman" w:hAnsi="Arial" w:cs="Arial"/>
          <w:color w:val="22232F"/>
        </w:rPr>
      </w:pPr>
      <w:r w:rsidRPr="006F6E8B">
        <w:rPr>
          <w:rFonts w:ascii="Arial" w:eastAsia="Times New Roman" w:hAnsi="Arial" w:cs="Arial"/>
          <w:color w:val="22232F"/>
        </w:rPr>
        <w:t xml:space="preserve">Особую роль НОСТРОЙ играет в комплексной работе по повышению качества и безопасности строительства за счет усиления кадрового потенциала. Так, по инициативе </w:t>
      </w:r>
      <w:proofErr w:type="spellStart"/>
      <w:r w:rsidRPr="006F6E8B">
        <w:rPr>
          <w:rFonts w:ascii="Arial" w:eastAsia="Times New Roman" w:hAnsi="Arial" w:cs="Arial"/>
          <w:color w:val="22232F"/>
        </w:rPr>
        <w:t>нацобъединения</w:t>
      </w:r>
      <w:proofErr w:type="spellEnd"/>
      <w:r w:rsidRPr="006F6E8B">
        <w:rPr>
          <w:rFonts w:ascii="Arial" w:eastAsia="Times New Roman" w:hAnsi="Arial" w:cs="Arial"/>
          <w:color w:val="22232F"/>
        </w:rPr>
        <w:t xml:space="preserve"> законодательно введена обязательная независимая оценка квалификации специалистов, сведения о которых теперь будут вноситься в Национальный реестр специалистов (НРС) по организации строительства. От этого напрямую будет зависеть отбор подрядной организации для выполнения строительных работ, отвечающим требованиям качества.</w:t>
      </w:r>
    </w:p>
    <w:p w:rsidR="006F6E8B" w:rsidRPr="006F6E8B" w:rsidRDefault="006F6E8B" w:rsidP="006F6E8B">
      <w:pPr>
        <w:spacing w:after="120" w:line="120" w:lineRule="atLeast"/>
        <w:jc w:val="both"/>
        <w:rPr>
          <w:rFonts w:ascii="Arial" w:eastAsia="Times New Roman" w:hAnsi="Arial" w:cs="Arial"/>
          <w:color w:val="22232F"/>
        </w:rPr>
      </w:pPr>
      <w:r w:rsidRPr="006F6E8B">
        <w:rPr>
          <w:rFonts w:ascii="Arial" w:eastAsia="Times New Roman" w:hAnsi="Arial" w:cs="Arial"/>
          <w:color w:val="22232F"/>
        </w:rPr>
        <w:t xml:space="preserve">«При выборе подрядной организации должна учитываться роль СРО. Самым правильным механизмом здесь может стать система </w:t>
      </w:r>
      <w:proofErr w:type="spellStart"/>
      <w:r w:rsidRPr="006F6E8B">
        <w:rPr>
          <w:rFonts w:ascii="Arial" w:eastAsia="Times New Roman" w:hAnsi="Arial" w:cs="Arial"/>
          <w:color w:val="22232F"/>
        </w:rPr>
        <w:t>рейтингования</w:t>
      </w:r>
      <w:proofErr w:type="spellEnd"/>
      <w:r w:rsidRPr="006F6E8B">
        <w:rPr>
          <w:rFonts w:ascii="Arial" w:eastAsia="Times New Roman" w:hAnsi="Arial" w:cs="Arial"/>
          <w:color w:val="22232F"/>
        </w:rPr>
        <w:t xml:space="preserve"> либо оценки деловой репутации компании по открытой методике. Необходимость обязательного проведения такой процедуры обусловлена тем, что без деловой репутации сместиться от критерия цены к критерию качества не получится», – подчеркнул Антон Глушков.</w:t>
      </w:r>
    </w:p>
    <w:p w:rsidR="006F6E8B" w:rsidRPr="006F6E8B" w:rsidRDefault="006F6E8B" w:rsidP="006F6E8B">
      <w:pPr>
        <w:spacing w:after="120" w:line="120" w:lineRule="atLeast"/>
        <w:jc w:val="both"/>
        <w:rPr>
          <w:rFonts w:ascii="Arial" w:eastAsia="Times New Roman" w:hAnsi="Arial" w:cs="Arial"/>
          <w:color w:val="22232F"/>
        </w:rPr>
      </w:pPr>
      <w:r w:rsidRPr="006F6E8B">
        <w:rPr>
          <w:rFonts w:ascii="Arial" w:eastAsia="Times New Roman" w:hAnsi="Arial" w:cs="Arial"/>
          <w:color w:val="22232F"/>
        </w:rPr>
        <w:lastRenderedPageBreak/>
        <w:t>К слову, введение независимой оценки квалификации для реестровых специалистов включено в «дорожную карту» по исполнению поручения Президента России Владимира Путина от 30 декабря 2021, которую разработал Минстрой России. Об этом напомнил Сергей Музыченко, добавив, что наряду с этим направлением в документе также отражены эффективность системы допуска на рынок строительства и системы ответственности СРО. Замглавы Минстроя уточнил, что все три направления нацелены на то, чтобы всеми участниками строительного процесса была обеспечена безопасность объекта не только во время его возведения, но и после сдачи в эксплуатацию.</w:t>
      </w:r>
    </w:p>
    <w:p w:rsidR="006F6E8B" w:rsidRPr="006F6E8B" w:rsidRDefault="006F6E8B" w:rsidP="006F6E8B">
      <w:pPr>
        <w:spacing w:after="120" w:line="120" w:lineRule="atLeast"/>
        <w:jc w:val="both"/>
        <w:rPr>
          <w:rFonts w:ascii="Arial" w:eastAsia="Times New Roman" w:hAnsi="Arial" w:cs="Arial"/>
          <w:color w:val="22232F"/>
        </w:rPr>
      </w:pPr>
      <w:r w:rsidRPr="006F6E8B">
        <w:rPr>
          <w:rFonts w:ascii="Arial" w:eastAsia="Times New Roman" w:hAnsi="Arial" w:cs="Arial"/>
          <w:color w:val="22232F"/>
        </w:rPr>
        <w:t xml:space="preserve">В завершение Ефим </w:t>
      </w:r>
      <w:proofErr w:type="spellStart"/>
      <w:r w:rsidRPr="006F6E8B">
        <w:rPr>
          <w:rFonts w:ascii="Arial" w:eastAsia="Times New Roman" w:hAnsi="Arial" w:cs="Arial"/>
          <w:color w:val="22232F"/>
        </w:rPr>
        <w:t>Басин</w:t>
      </w:r>
      <w:proofErr w:type="spellEnd"/>
      <w:r w:rsidRPr="006F6E8B">
        <w:rPr>
          <w:rFonts w:ascii="Arial" w:eastAsia="Times New Roman" w:hAnsi="Arial" w:cs="Arial"/>
          <w:color w:val="22232F"/>
        </w:rPr>
        <w:t xml:space="preserve"> сообщил, что по итогам совещания будет подготовлен протокол, в который войдут предложения участников дискуссии для включения в «дорожную карту». Документ будет подписан Сергеем </w:t>
      </w:r>
      <w:proofErr w:type="spellStart"/>
      <w:r w:rsidRPr="006F6E8B">
        <w:rPr>
          <w:rFonts w:ascii="Arial" w:eastAsia="Times New Roman" w:hAnsi="Arial" w:cs="Arial"/>
          <w:color w:val="22232F"/>
        </w:rPr>
        <w:t>Катыриным</w:t>
      </w:r>
      <w:proofErr w:type="spellEnd"/>
      <w:r w:rsidRPr="006F6E8B">
        <w:rPr>
          <w:rFonts w:ascii="Arial" w:eastAsia="Times New Roman" w:hAnsi="Arial" w:cs="Arial"/>
          <w:color w:val="22232F"/>
        </w:rPr>
        <w:t xml:space="preserve"> и направлен в адрес Минстроя России.</w:t>
      </w:r>
    </w:p>
    <w:tbl>
      <w:tblPr>
        <w:tblW w:w="0" w:type="auto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"/>
        <w:gridCol w:w="101"/>
      </w:tblGrid>
      <w:tr w:rsidR="006F6E8B" w:rsidRPr="006F6E8B" w:rsidTr="00884B71">
        <w:trPr>
          <w:tblCellSpacing w:w="7" w:type="dxa"/>
        </w:trPr>
        <w:tc>
          <w:tcPr>
            <w:tcW w:w="0" w:type="auto"/>
            <w:vAlign w:val="center"/>
            <w:hideMark/>
          </w:tcPr>
          <w:p w:rsidR="006F6E8B" w:rsidRPr="006F6E8B" w:rsidRDefault="006F6E8B" w:rsidP="006F6E8B">
            <w:pPr>
              <w:rPr>
                <w:rFonts w:ascii="Calibri" w:eastAsia="Times New Roman" w:hAnsi="Calibri" w:cs="Times New Roman"/>
              </w:rPr>
            </w:pPr>
            <w:r w:rsidRPr="006F6E8B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F6E8B" w:rsidRPr="006F6E8B" w:rsidRDefault="006F6E8B" w:rsidP="006F6E8B">
            <w:pPr>
              <w:rPr>
                <w:rFonts w:ascii="Calibri" w:eastAsia="Times New Roman" w:hAnsi="Calibri" w:cs="Times New Roman"/>
              </w:rPr>
            </w:pPr>
            <w:r w:rsidRPr="006F6E8B"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6F6E8B" w:rsidRPr="00202201" w:rsidRDefault="006F6E8B" w:rsidP="00202201">
      <w:pPr>
        <w:spacing w:before="100" w:beforeAutospacing="1" w:after="100" w:afterAutospacing="1"/>
        <w:ind w:left="720"/>
        <w:rPr>
          <w:rFonts w:ascii="Calibri" w:eastAsia="Times New Roman" w:hAnsi="Calibri" w:cs="Times New Roman"/>
        </w:rPr>
      </w:pPr>
    </w:p>
    <w:p w:rsidR="00202201" w:rsidRPr="00202201" w:rsidRDefault="00202201" w:rsidP="00202201">
      <w:pPr>
        <w:spacing w:before="100" w:beforeAutospacing="1" w:after="100" w:afterAutospacing="1"/>
        <w:ind w:left="720"/>
        <w:rPr>
          <w:rFonts w:ascii="Calibri" w:eastAsia="Times New Roman" w:hAnsi="Calibri" w:cs="Times New Roman"/>
          <w:color w:val="0000FF"/>
          <w:u w:val="single"/>
        </w:rPr>
      </w:pPr>
      <w:r w:rsidRPr="00202201">
        <w:rPr>
          <w:rFonts w:ascii="Calibri" w:eastAsia="Times New Roman" w:hAnsi="Calibri" w:cs="Times New Roman"/>
        </w:rPr>
        <w:fldChar w:fldCharType="begin"/>
      </w:r>
      <w:r w:rsidRPr="00202201">
        <w:rPr>
          <w:rFonts w:ascii="Calibri" w:eastAsia="Times New Roman" w:hAnsi="Calibri" w:cs="Times New Roman"/>
        </w:rPr>
        <w:instrText xml:space="preserve"> HYPERLINK "https://org.tpprf.ru/committee/council_sro/news/2785205/" </w:instrText>
      </w:r>
      <w:r w:rsidRPr="00202201">
        <w:rPr>
          <w:rFonts w:ascii="Calibri" w:eastAsia="Times New Roman" w:hAnsi="Calibri" w:cs="Times New Roman"/>
        </w:rPr>
        <w:fldChar w:fldCharType="separate"/>
      </w:r>
    </w:p>
    <w:p w:rsidR="00202201" w:rsidRPr="00202201" w:rsidRDefault="00202201" w:rsidP="00202201">
      <w:pPr>
        <w:spacing w:before="100" w:beforeAutospacing="1" w:after="100" w:afterAutospacing="1"/>
        <w:ind w:left="720"/>
        <w:rPr>
          <w:rFonts w:ascii="Calibri" w:eastAsia="Times New Roman" w:hAnsi="Calibri" w:cs="Times New Roman"/>
        </w:rPr>
      </w:pPr>
    </w:p>
    <w:p w:rsidR="00202201" w:rsidRPr="00202201" w:rsidRDefault="00202201" w:rsidP="00202201">
      <w:pPr>
        <w:spacing w:before="100" w:beforeAutospacing="1" w:after="100" w:afterAutospacing="1"/>
        <w:ind w:left="720"/>
        <w:rPr>
          <w:rFonts w:ascii="Calibri" w:eastAsia="Times New Roman" w:hAnsi="Calibri" w:cs="Times New Roman"/>
        </w:rPr>
      </w:pPr>
      <w:r w:rsidRPr="00202201">
        <w:rPr>
          <w:rFonts w:ascii="Calibri" w:eastAsia="Times New Roman" w:hAnsi="Calibri" w:cs="Times New Roman"/>
        </w:rPr>
        <w:fldChar w:fldCharType="end"/>
      </w:r>
    </w:p>
    <w:p w:rsidR="00202201" w:rsidRPr="00202201" w:rsidRDefault="00202201" w:rsidP="00202201">
      <w:pPr>
        <w:spacing w:before="100" w:beforeAutospacing="1" w:after="100" w:afterAutospacing="1"/>
        <w:ind w:left="720"/>
        <w:rPr>
          <w:rFonts w:ascii="Calibri" w:eastAsia="Times New Roman" w:hAnsi="Calibri" w:cs="Times New Roman"/>
          <w:color w:val="0000FF"/>
          <w:u w:val="single"/>
        </w:rPr>
      </w:pPr>
      <w:r w:rsidRPr="00202201">
        <w:rPr>
          <w:rFonts w:ascii="Calibri" w:eastAsia="Times New Roman" w:hAnsi="Calibri" w:cs="Times New Roman"/>
        </w:rPr>
        <w:fldChar w:fldCharType="begin"/>
      </w:r>
      <w:r w:rsidRPr="00202201">
        <w:rPr>
          <w:rFonts w:ascii="Calibri" w:eastAsia="Times New Roman" w:hAnsi="Calibri" w:cs="Times New Roman"/>
        </w:rPr>
        <w:instrText xml:space="preserve"> HYPERLINK "https://org.tpprf.ru/committee/council_sro/post-release/3262018/" </w:instrText>
      </w:r>
      <w:r w:rsidRPr="00202201">
        <w:rPr>
          <w:rFonts w:ascii="Calibri" w:eastAsia="Times New Roman" w:hAnsi="Calibri" w:cs="Times New Roman"/>
        </w:rPr>
        <w:fldChar w:fldCharType="separate"/>
      </w:r>
    </w:p>
    <w:p w:rsidR="00202201" w:rsidRPr="00202201" w:rsidRDefault="00202201" w:rsidP="00202201">
      <w:pPr>
        <w:shd w:val="clear" w:color="auto" w:fill="FFFFFF"/>
        <w:rPr>
          <w:rFonts w:ascii="Calibri" w:eastAsia="Times New Roman" w:hAnsi="Calibri" w:cs="Times New Roman"/>
        </w:rPr>
      </w:pPr>
      <w:r w:rsidRPr="00202201">
        <w:rPr>
          <w:rFonts w:ascii="Calibri" w:eastAsia="Times New Roman" w:hAnsi="Calibri" w:cs="Times New Roman"/>
        </w:rPr>
        <w:fldChar w:fldCharType="end"/>
      </w:r>
    </w:p>
    <w:p w:rsidR="00202201" w:rsidRPr="00202201" w:rsidRDefault="00202201" w:rsidP="00253C72">
      <w:pPr>
        <w:shd w:val="clear" w:color="auto" w:fill="FFFFFF"/>
        <w:spacing w:after="405" w:line="240" w:lineRule="auto"/>
        <w:rPr>
          <w:rFonts w:eastAsia="Times New Roman" w:cs="Times New Roman"/>
          <w:color w:val="262626"/>
          <w:sz w:val="26"/>
          <w:szCs w:val="26"/>
        </w:rPr>
      </w:pPr>
    </w:p>
    <w:p w:rsidR="00253563" w:rsidRDefault="00253563" w:rsidP="00253C72">
      <w:pPr>
        <w:shd w:val="clear" w:color="auto" w:fill="FFFFFF"/>
        <w:spacing w:after="405" w:line="240" w:lineRule="auto"/>
        <w:rPr>
          <w:rFonts w:eastAsia="Times New Roman" w:cs="Times New Roman"/>
          <w:color w:val="262626"/>
          <w:sz w:val="26"/>
          <w:szCs w:val="26"/>
        </w:rPr>
      </w:pPr>
    </w:p>
    <w:p w:rsidR="00253563" w:rsidRPr="00253563" w:rsidRDefault="00253563" w:rsidP="00253C72">
      <w:pPr>
        <w:shd w:val="clear" w:color="auto" w:fill="FFFFFF"/>
        <w:spacing w:after="405" w:line="240" w:lineRule="auto"/>
        <w:rPr>
          <w:rFonts w:eastAsia="Times New Roman" w:cs="Times New Roman"/>
          <w:color w:val="262626"/>
          <w:sz w:val="26"/>
          <w:szCs w:val="26"/>
        </w:rPr>
      </w:pPr>
    </w:p>
    <w:p w:rsidR="00253C72" w:rsidRDefault="00253C72" w:rsidP="006B0439">
      <w:pPr>
        <w:shd w:val="clear" w:color="auto" w:fill="FFFFFF"/>
        <w:spacing w:after="405" w:line="240" w:lineRule="auto"/>
        <w:rPr>
          <w:rFonts w:eastAsia="Times New Roman" w:cs="Times New Roman"/>
          <w:color w:val="262626"/>
          <w:sz w:val="26"/>
          <w:szCs w:val="26"/>
        </w:rPr>
      </w:pPr>
    </w:p>
    <w:p w:rsidR="00BD1488" w:rsidRPr="00BD1488" w:rsidRDefault="00BD1488" w:rsidP="006B0439">
      <w:pPr>
        <w:shd w:val="clear" w:color="auto" w:fill="FFFFFF"/>
        <w:spacing w:after="405" w:line="240" w:lineRule="auto"/>
        <w:rPr>
          <w:rFonts w:eastAsia="Times New Roman" w:cs="Times New Roman"/>
          <w:color w:val="262626"/>
          <w:sz w:val="26"/>
          <w:szCs w:val="26"/>
        </w:rPr>
      </w:pPr>
    </w:p>
    <w:p w:rsidR="006B0439" w:rsidRPr="006B0439" w:rsidRDefault="006B0439" w:rsidP="006B0439">
      <w:pPr>
        <w:shd w:val="clear" w:color="auto" w:fill="FFFFFF"/>
        <w:spacing w:after="405" w:line="240" w:lineRule="auto"/>
        <w:rPr>
          <w:rFonts w:ascii="Helvetica" w:eastAsia="Times New Roman" w:hAnsi="Helvetica" w:cs="Times New Roman"/>
          <w:color w:val="262626"/>
          <w:sz w:val="26"/>
          <w:szCs w:val="26"/>
        </w:rPr>
      </w:pPr>
      <w:r w:rsidRPr="006B0439">
        <w:rPr>
          <w:rFonts w:ascii="Helvetica" w:eastAsia="Times New Roman" w:hAnsi="Helvetica" w:cs="Times New Roman"/>
          <w:color w:val="262626"/>
          <w:sz w:val="26"/>
          <w:szCs w:val="26"/>
        </w:rPr>
        <w:t> </w:t>
      </w:r>
    </w:p>
    <w:p w:rsidR="006B0439" w:rsidRPr="00315532" w:rsidRDefault="006B0439" w:rsidP="006E5439">
      <w:pPr>
        <w:spacing w:before="150" w:after="150" w:line="240" w:lineRule="auto"/>
        <w:textAlignment w:val="baseline"/>
        <w:rPr>
          <w:rFonts w:ascii="pt_sans" w:eastAsia="Times New Roman" w:hAnsi="pt_sans" w:cs="Times New Roman"/>
          <w:color w:val="000000"/>
          <w:sz w:val="28"/>
          <w:szCs w:val="28"/>
        </w:rPr>
      </w:pPr>
    </w:p>
    <w:p w:rsidR="000559EE" w:rsidRDefault="000559EE" w:rsidP="006E5439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0559EE" w:rsidRDefault="000559EE" w:rsidP="006E5439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0559EE" w:rsidRDefault="000559EE" w:rsidP="006E5439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6E5439" w:rsidRPr="006E5439" w:rsidRDefault="006E5439" w:rsidP="006E5439">
      <w:pPr>
        <w:spacing w:after="0" w:line="240" w:lineRule="auto"/>
        <w:textAlignment w:val="baseline"/>
        <w:rPr>
          <w:rFonts w:ascii="pt_sans" w:eastAsia="Times New Roman" w:hAnsi="pt_sans" w:cs="Times New Roman"/>
          <w:color w:val="000000"/>
          <w:sz w:val="24"/>
          <w:szCs w:val="24"/>
        </w:rPr>
      </w:pPr>
    </w:p>
    <w:p w:rsidR="00C56811" w:rsidRPr="00C56811" w:rsidRDefault="00C56811" w:rsidP="00C5681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808080" w:themeColor="background1" w:themeShade="80"/>
          <w:sz w:val="28"/>
          <w:szCs w:val="28"/>
        </w:rPr>
      </w:pPr>
    </w:p>
    <w:p w:rsidR="00C56811" w:rsidRPr="00C56811" w:rsidRDefault="00C56811" w:rsidP="00C5681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808080" w:themeColor="background1" w:themeShade="80"/>
          <w:sz w:val="28"/>
          <w:szCs w:val="28"/>
        </w:rPr>
      </w:pPr>
    </w:p>
    <w:p w:rsidR="00C548CB" w:rsidRPr="00F6678A" w:rsidRDefault="00C548CB" w:rsidP="00BC7A6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4D4D4D"/>
          <w:sz w:val="24"/>
          <w:szCs w:val="24"/>
        </w:rPr>
      </w:pPr>
    </w:p>
    <w:sectPr w:rsidR="00C548CB" w:rsidRPr="00F6678A" w:rsidSect="0071756E"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5C5" w:rsidRDefault="009C35C5" w:rsidP="00B70DF3">
      <w:pPr>
        <w:spacing w:after="0" w:line="240" w:lineRule="auto"/>
      </w:pPr>
      <w:r>
        <w:separator/>
      </w:r>
    </w:p>
  </w:endnote>
  <w:endnote w:type="continuationSeparator" w:id="0">
    <w:p w:rsidR="009C35C5" w:rsidRDefault="009C35C5" w:rsidP="00B70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ahoma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pt_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5C5" w:rsidRDefault="009C35C5" w:rsidP="00B70DF3">
      <w:pPr>
        <w:spacing w:after="0" w:line="240" w:lineRule="auto"/>
      </w:pPr>
      <w:r>
        <w:separator/>
      </w:r>
    </w:p>
  </w:footnote>
  <w:footnote w:type="continuationSeparator" w:id="0">
    <w:p w:rsidR="009C35C5" w:rsidRDefault="009C35C5" w:rsidP="00B70D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A6BD1"/>
    <w:multiLevelType w:val="hybridMultilevel"/>
    <w:tmpl w:val="BBA8BA98"/>
    <w:lvl w:ilvl="0" w:tplc="AFDCFE26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6B2A72"/>
    <w:multiLevelType w:val="hybridMultilevel"/>
    <w:tmpl w:val="8A8EF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AE349F"/>
    <w:multiLevelType w:val="multilevel"/>
    <w:tmpl w:val="E3C80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C97C08"/>
    <w:multiLevelType w:val="hybridMultilevel"/>
    <w:tmpl w:val="8274F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C77A6F"/>
    <w:multiLevelType w:val="multilevel"/>
    <w:tmpl w:val="7D303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AE121E"/>
    <w:multiLevelType w:val="hybridMultilevel"/>
    <w:tmpl w:val="224AB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D85659"/>
    <w:multiLevelType w:val="hybridMultilevel"/>
    <w:tmpl w:val="237A6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gutterAtTop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4B0"/>
    <w:rsid w:val="00003011"/>
    <w:rsid w:val="0001301B"/>
    <w:rsid w:val="0001439A"/>
    <w:rsid w:val="00015182"/>
    <w:rsid w:val="00015F4D"/>
    <w:rsid w:val="00022A09"/>
    <w:rsid w:val="00030314"/>
    <w:rsid w:val="00032CCE"/>
    <w:rsid w:val="00034449"/>
    <w:rsid w:val="00042976"/>
    <w:rsid w:val="000559EE"/>
    <w:rsid w:val="00056D21"/>
    <w:rsid w:val="00072637"/>
    <w:rsid w:val="00077D34"/>
    <w:rsid w:val="000841F8"/>
    <w:rsid w:val="00094722"/>
    <w:rsid w:val="000A3BE1"/>
    <w:rsid w:val="000B3254"/>
    <w:rsid w:val="000B57F2"/>
    <w:rsid w:val="000B6D50"/>
    <w:rsid w:val="000C2A73"/>
    <w:rsid w:val="000C5550"/>
    <w:rsid w:val="000C72A2"/>
    <w:rsid w:val="00100638"/>
    <w:rsid w:val="00101EC8"/>
    <w:rsid w:val="00105F8F"/>
    <w:rsid w:val="00112F8C"/>
    <w:rsid w:val="0011763B"/>
    <w:rsid w:val="00130C00"/>
    <w:rsid w:val="00131653"/>
    <w:rsid w:val="00133DD8"/>
    <w:rsid w:val="00145DE5"/>
    <w:rsid w:val="0014761C"/>
    <w:rsid w:val="001500CF"/>
    <w:rsid w:val="00170A48"/>
    <w:rsid w:val="00181FE1"/>
    <w:rsid w:val="00187264"/>
    <w:rsid w:val="00187CFD"/>
    <w:rsid w:val="001A1CC9"/>
    <w:rsid w:val="001B17D2"/>
    <w:rsid w:val="001B7976"/>
    <w:rsid w:val="001C3921"/>
    <w:rsid w:val="001E0A2D"/>
    <w:rsid w:val="001E6091"/>
    <w:rsid w:val="001F2945"/>
    <w:rsid w:val="001F320D"/>
    <w:rsid w:val="00202201"/>
    <w:rsid w:val="00202210"/>
    <w:rsid w:val="00204570"/>
    <w:rsid w:val="00215F4E"/>
    <w:rsid w:val="002355F8"/>
    <w:rsid w:val="00236924"/>
    <w:rsid w:val="00240717"/>
    <w:rsid w:val="00253563"/>
    <w:rsid w:val="00253C72"/>
    <w:rsid w:val="0026227E"/>
    <w:rsid w:val="002629E0"/>
    <w:rsid w:val="00267D8F"/>
    <w:rsid w:val="0027247E"/>
    <w:rsid w:val="00295109"/>
    <w:rsid w:val="002A5119"/>
    <w:rsid w:val="002B0C2C"/>
    <w:rsid w:val="002E10C2"/>
    <w:rsid w:val="002E24A8"/>
    <w:rsid w:val="002E5CA8"/>
    <w:rsid w:val="002F23F7"/>
    <w:rsid w:val="002F44C3"/>
    <w:rsid w:val="002F6FBF"/>
    <w:rsid w:val="00307961"/>
    <w:rsid w:val="0031086E"/>
    <w:rsid w:val="00312BFC"/>
    <w:rsid w:val="00315532"/>
    <w:rsid w:val="00322BD6"/>
    <w:rsid w:val="0033112E"/>
    <w:rsid w:val="00332124"/>
    <w:rsid w:val="00334FEA"/>
    <w:rsid w:val="003369C7"/>
    <w:rsid w:val="00336FA8"/>
    <w:rsid w:val="00346517"/>
    <w:rsid w:val="00350A00"/>
    <w:rsid w:val="00361DFA"/>
    <w:rsid w:val="00363B9C"/>
    <w:rsid w:val="00384496"/>
    <w:rsid w:val="00385EF3"/>
    <w:rsid w:val="003947F0"/>
    <w:rsid w:val="003977C3"/>
    <w:rsid w:val="003A20A0"/>
    <w:rsid w:val="003B2CC2"/>
    <w:rsid w:val="003B37D0"/>
    <w:rsid w:val="003C7F98"/>
    <w:rsid w:val="004101E2"/>
    <w:rsid w:val="00422E8A"/>
    <w:rsid w:val="00430495"/>
    <w:rsid w:val="00431B44"/>
    <w:rsid w:val="0043458C"/>
    <w:rsid w:val="00434E2A"/>
    <w:rsid w:val="00450D99"/>
    <w:rsid w:val="004550C2"/>
    <w:rsid w:val="00466CBC"/>
    <w:rsid w:val="00471E95"/>
    <w:rsid w:val="004737C7"/>
    <w:rsid w:val="0047658D"/>
    <w:rsid w:val="00487DF6"/>
    <w:rsid w:val="004B191F"/>
    <w:rsid w:val="004B314A"/>
    <w:rsid w:val="004B63B7"/>
    <w:rsid w:val="004C370E"/>
    <w:rsid w:val="004C696C"/>
    <w:rsid w:val="004D2B2C"/>
    <w:rsid w:val="004D6877"/>
    <w:rsid w:val="004E1DDE"/>
    <w:rsid w:val="004F79AF"/>
    <w:rsid w:val="00514188"/>
    <w:rsid w:val="005215D5"/>
    <w:rsid w:val="00521F46"/>
    <w:rsid w:val="0052236B"/>
    <w:rsid w:val="00525A18"/>
    <w:rsid w:val="00534BD6"/>
    <w:rsid w:val="00535268"/>
    <w:rsid w:val="00544B49"/>
    <w:rsid w:val="00545541"/>
    <w:rsid w:val="00555A5F"/>
    <w:rsid w:val="005560F1"/>
    <w:rsid w:val="00560174"/>
    <w:rsid w:val="005759AF"/>
    <w:rsid w:val="00577F33"/>
    <w:rsid w:val="005849BC"/>
    <w:rsid w:val="005853A2"/>
    <w:rsid w:val="00597816"/>
    <w:rsid w:val="005A4EC9"/>
    <w:rsid w:val="005A58BF"/>
    <w:rsid w:val="005B2424"/>
    <w:rsid w:val="005D51CA"/>
    <w:rsid w:val="005D6A1D"/>
    <w:rsid w:val="00611A91"/>
    <w:rsid w:val="00623863"/>
    <w:rsid w:val="00632589"/>
    <w:rsid w:val="00634D57"/>
    <w:rsid w:val="006429EF"/>
    <w:rsid w:val="006431B2"/>
    <w:rsid w:val="00650607"/>
    <w:rsid w:val="00651993"/>
    <w:rsid w:val="00654358"/>
    <w:rsid w:val="00661666"/>
    <w:rsid w:val="006638AD"/>
    <w:rsid w:val="00691BC4"/>
    <w:rsid w:val="0069631C"/>
    <w:rsid w:val="006A736A"/>
    <w:rsid w:val="006B0439"/>
    <w:rsid w:val="006B2E20"/>
    <w:rsid w:val="006B515B"/>
    <w:rsid w:val="006C6737"/>
    <w:rsid w:val="006D4957"/>
    <w:rsid w:val="006E3C45"/>
    <w:rsid w:val="006E5439"/>
    <w:rsid w:val="006E5FDA"/>
    <w:rsid w:val="006F048D"/>
    <w:rsid w:val="006F05AA"/>
    <w:rsid w:val="006F5229"/>
    <w:rsid w:val="006F52E5"/>
    <w:rsid w:val="006F5E51"/>
    <w:rsid w:val="006F6E8B"/>
    <w:rsid w:val="0070150A"/>
    <w:rsid w:val="00703ABE"/>
    <w:rsid w:val="0070427B"/>
    <w:rsid w:val="00704B34"/>
    <w:rsid w:val="00705C3C"/>
    <w:rsid w:val="00715A54"/>
    <w:rsid w:val="0071756E"/>
    <w:rsid w:val="00733CD5"/>
    <w:rsid w:val="007450BD"/>
    <w:rsid w:val="00753648"/>
    <w:rsid w:val="00765921"/>
    <w:rsid w:val="007745C2"/>
    <w:rsid w:val="00785B9B"/>
    <w:rsid w:val="007A3830"/>
    <w:rsid w:val="007B1C67"/>
    <w:rsid w:val="007C176C"/>
    <w:rsid w:val="007D04D3"/>
    <w:rsid w:val="007D6F0C"/>
    <w:rsid w:val="007F0A46"/>
    <w:rsid w:val="007F3538"/>
    <w:rsid w:val="007F439D"/>
    <w:rsid w:val="00800BF0"/>
    <w:rsid w:val="0080609E"/>
    <w:rsid w:val="00806E14"/>
    <w:rsid w:val="00821479"/>
    <w:rsid w:val="00822E68"/>
    <w:rsid w:val="00827DBB"/>
    <w:rsid w:val="00851699"/>
    <w:rsid w:val="00852C19"/>
    <w:rsid w:val="00855D57"/>
    <w:rsid w:val="00861CA4"/>
    <w:rsid w:val="00862E7D"/>
    <w:rsid w:val="008760FA"/>
    <w:rsid w:val="0088000C"/>
    <w:rsid w:val="00881997"/>
    <w:rsid w:val="00897C6F"/>
    <w:rsid w:val="008A5345"/>
    <w:rsid w:val="008A7E15"/>
    <w:rsid w:val="008C3500"/>
    <w:rsid w:val="008C40A9"/>
    <w:rsid w:val="008C5490"/>
    <w:rsid w:val="008E0F71"/>
    <w:rsid w:val="008E2824"/>
    <w:rsid w:val="008E2A8E"/>
    <w:rsid w:val="008E31D4"/>
    <w:rsid w:val="008F237A"/>
    <w:rsid w:val="00911148"/>
    <w:rsid w:val="00937371"/>
    <w:rsid w:val="0094006C"/>
    <w:rsid w:val="00963A4F"/>
    <w:rsid w:val="00973EC7"/>
    <w:rsid w:val="0099773C"/>
    <w:rsid w:val="009A44A9"/>
    <w:rsid w:val="009A6859"/>
    <w:rsid w:val="009B4335"/>
    <w:rsid w:val="009B6E47"/>
    <w:rsid w:val="009C1C12"/>
    <w:rsid w:val="009C35C5"/>
    <w:rsid w:val="009D154B"/>
    <w:rsid w:val="009E0A38"/>
    <w:rsid w:val="009E4E14"/>
    <w:rsid w:val="009E62E9"/>
    <w:rsid w:val="009E630A"/>
    <w:rsid w:val="009F1005"/>
    <w:rsid w:val="009F2691"/>
    <w:rsid w:val="009F6255"/>
    <w:rsid w:val="009F6D11"/>
    <w:rsid w:val="00A0460D"/>
    <w:rsid w:val="00A052EC"/>
    <w:rsid w:val="00A20211"/>
    <w:rsid w:val="00A24706"/>
    <w:rsid w:val="00A327F6"/>
    <w:rsid w:val="00A503D2"/>
    <w:rsid w:val="00A549B5"/>
    <w:rsid w:val="00A8409D"/>
    <w:rsid w:val="00A855E5"/>
    <w:rsid w:val="00AB356D"/>
    <w:rsid w:val="00AC1EDE"/>
    <w:rsid w:val="00AD5FDE"/>
    <w:rsid w:val="00AE2007"/>
    <w:rsid w:val="00AE40F6"/>
    <w:rsid w:val="00AE44B0"/>
    <w:rsid w:val="00AE631B"/>
    <w:rsid w:val="00AE6803"/>
    <w:rsid w:val="00B11853"/>
    <w:rsid w:val="00B2681A"/>
    <w:rsid w:val="00B44DC7"/>
    <w:rsid w:val="00B50CED"/>
    <w:rsid w:val="00B56F8A"/>
    <w:rsid w:val="00B635C8"/>
    <w:rsid w:val="00B702F9"/>
    <w:rsid w:val="00B7090C"/>
    <w:rsid w:val="00B70DF3"/>
    <w:rsid w:val="00B80B04"/>
    <w:rsid w:val="00B82462"/>
    <w:rsid w:val="00BC1F37"/>
    <w:rsid w:val="00BC5DDD"/>
    <w:rsid w:val="00BC7A65"/>
    <w:rsid w:val="00BD1488"/>
    <w:rsid w:val="00BD3F9B"/>
    <w:rsid w:val="00BE0632"/>
    <w:rsid w:val="00BE3A77"/>
    <w:rsid w:val="00BF44DB"/>
    <w:rsid w:val="00C014D6"/>
    <w:rsid w:val="00C10D35"/>
    <w:rsid w:val="00C112AF"/>
    <w:rsid w:val="00C16E31"/>
    <w:rsid w:val="00C245E7"/>
    <w:rsid w:val="00C548CB"/>
    <w:rsid w:val="00C553C4"/>
    <w:rsid w:val="00C56811"/>
    <w:rsid w:val="00C8161B"/>
    <w:rsid w:val="00C95A05"/>
    <w:rsid w:val="00CD3BBD"/>
    <w:rsid w:val="00CD3E4A"/>
    <w:rsid w:val="00CD4341"/>
    <w:rsid w:val="00D06504"/>
    <w:rsid w:val="00D10A97"/>
    <w:rsid w:val="00D12F3C"/>
    <w:rsid w:val="00D15368"/>
    <w:rsid w:val="00D375ED"/>
    <w:rsid w:val="00D449AB"/>
    <w:rsid w:val="00D53DAF"/>
    <w:rsid w:val="00D76D7C"/>
    <w:rsid w:val="00D93A45"/>
    <w:rsid w:val="00DA6D17"/>
    <w:rsid w:val="00DE10C1"/>
    <w:rsid w:val="00DE364A"/>
    <w:rsid w:val="00DE7CC3"/>
    <w:rsid w:val="00E01F70"/>
    <w:rsid w:val="00E030BD"/>
    <w:rsid w:val="00E1133E"/>
    <w:rsid w:val="00E12CD5"/>
    <w:rsid w:val="00E14555"/>
    <w:rsid w:val="00E2281A"/>
    <w:rsid w:val="00E36371"/>
    <w:rsid w:val="00E519CA"/>
    <w:rsid w:val="00E51E4E"/>
    <w:rsid w:val="00E6109E"/>
    <w:rsid w:val="00E6557B"/>
    <w:rsid w:val="00E75EE8"/>
    <w:rsid w:val="00E801A6"/>
    <w:rsid w:val="00E835AF"/>
    <w:rsid w:val="00E96B00"/>
    <w:rsid w:val="00EA2E86"/>
    <w:rsid w:val="00EC1A47"/>
    <w:rsid w:val="00ED38C5"/>
    <w:rsid w:val="00ED51AF"/>
    <w:rsid w:val="00ED5D0F"/>
    <w:rsid w:val="00F05B8F"/>
    <w:rsid w:val="00F15B31"/>
    <w:rsid w:val="00F222D0"/>
    <w:rsid w:val="00F263BE"/>
    <w:rsid w:val="00F40AB6"/>
    <w:rsid w:val="00F42A12"/>
    <w:rsid w:val="00F430C7"/>
    <w:rsid w:val="00F6115D"/>
    <w:rsid w:val="00F6174F"/>
    <w:rsid w:val="00F6678A"/>
    <w:rsid w:val="00F66CDD"/>
    <w:rsid w:val="00F87AF6"/>
    <w:rsid w:val="00F90BCA"/>
    <w:rsid w:val="00F9598A"/>
    <w:rsid w:val="00FA0AE4"/>
    <w:rsid w:val="00FA3B4E"/>
    <w:rsid w:val="00FA5AF7"/>
    <w:rsid w:val="00FB2082"/>
    <w:rsid w:val="00FB7C4F"/>
    <w:rsid w:val="00FC7DC1"/>
    <w:rsid w:val="00FF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18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15182"/>
    <w:rPr>
      <w:color w:val="0000FF" w:themeColor="hyperlink"/>
      <w:u w:val="single"/>
    </w:rPr>
  </w:style>
  <w:style w:type="paragraph" w:styleId="a6">
    <w:name w:val="footer"/>
    <w:basedOn w:val="a"/>
    <w:link w:val="a7"/>
    <w:uiPriority w:val="99"/>
    <w:rsid w:val="00937371"/>
    <w:pPr>
      <w:widowControl w:val="0"/>
      <w:tabs>
        <w:tab w:val="center" w:pos="4153"/>
        <w:tab w:val="right" w:pos="8306"/>
      </w:tabs>
      <w:spacing w:before="240" w:after="24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Нижний колонтитул Знак"/>
    <w:basedOn w:val="a0"/>
    <w:link w:val="a6"/>
    <w:uiPriority w:val="99"/>
    <w:rsid w:val="0093737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6F5E51"/>
    <w:pPr>
      <w:ind w:left="720"/>
      <w:contextualSpacing/>
    </w:pPr>
  </w:style>
  <w:style w:type="character" w:customStyle="1" w:styleId="a9">
    <w:name w:val="Основной текст_"/>
    <w:basedOn w:val="a0"/>
    <w:link w:val="1"/>
    <w:rsid w:val="001A1CC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0">
    <w:name w:val="Заголовок №1_"/>
    <w:basedOn w:val="a0"/>
    <w:link w:val="11"/>
    <w:rsid w:val="001A1CC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1A1CC9"/>
    <w:pPr>
      <w:shd w:val="clear" w:color="auto" w:fill="FFFFFF"/>
      <w:spacing w:before="420" w:after="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"/>
    <w:basedOn w:val="a"/>
    <w:link w:val="10"/>
    <w:rsid w:val="001A1CC9"/>
    <w:pPr>
      <w:shd w:val="clear" w:color="auto" w:fill="FFFFFF"/>
      <w:spacing w:after="600" w:line="326" w:lineRule="exac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B70D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70D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18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15182"/>
    <w:rPr>
      <w:color w:val="0000FF" w:themeColor="hyperlink"/>
      <w:u w:val="single"/>
    </w:rPr>
  </w:style>
  <w:style w:type="paragraph" w:styleId="a6">
    <w:name w:val="footer"/>
    <w:basedOn w:val="a"/>
    <w:link w:val="a7"/>
    <w:uiPriority w:val="99"/>
    <w:rsid w:val="00937371"/>
    <w:pPr>
      <w:widowControl w:val="0"/>
      <w:tabs>
        <w:tab w:val="center" w:pos="4153"/>
        <w:tab w:val="right" w:pos="8306"/>
      </w:tabs>
      <w:spacing w:before="240" w:after="24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Нижний колонтитул Знак"/>
    <w:basedOn w:val="a0"/>
    <w:link w:val="a6"/>
    <w:uiPriority w:val="99"/>
    <w:rsid w:val="0093737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6F5E51"/>
    <w:pPr>
      <w:ind w:left="720"/>
      <w:contextualSpacing/>
    </w:pPr>
  </w:style>
  <w:style w:type="character" w:customStyle="1" w:styleId="a9">
    <w:name w:val="Основной текст_"/>
    <w:basedOn w:val="a0"/>
    <w:link w:val="1"/>
    <w:rsid w:val="001A1CC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0">
    <w:name w:val="Заголовок №1_"/>
    <w:basedOn w:val="a0"/>
    <w:link w:val="11"/>
    <w:rsid w:val="001A1CC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1A1CC9"/>
    <w:pPr>
      <w:shd w:val="clear" w:color="auto" w:fill="FFFFFF"/>
      <w:spacing w:before="420" w:after="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"/>
    <w:basedOn w:val="a"/>
    <w:link w:val="10"/>
    <w:rsid w:val="001A1CC9"/>
    <w:pPr>
      <w:shd w:val="clear" w:color="auto" w:fill="FFFFFF"/>
      <w:spacing w:after="600" w:line="326" w:lineRule="exac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B70D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70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468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2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8947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90688">
                  <w:marLeft w:val="0"/>
                  <w:marRight w:val="0"/>
                  <w:marTop w:val="3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0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834031">
              <w:marLeft w:val="0"/>
              <w:marRight w:val="0"/>
              <w:marTop w:val="7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1608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9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4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07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5358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83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95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76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60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19443">
              <w:blockQuote w:val="1"/>
              <w:marLeft w:val="0"/>
              <w:marRight w:val="0"/>
              <w:marTop w:val="46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8311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8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4039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15242">
          <w:marLeft w:val="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087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21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95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42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4126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9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12026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0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8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8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53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4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0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44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3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3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89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3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56046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67505">
                  <w:marLeft w:val="0"/>
                  <w:marRight w:val="0"/>
                  <w:marTop w:val="3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0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nostroy.ru/articles/detail.php?ELEMENT_ID=225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2797C-BD2B-4636-BEE4-63FAF2728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758</Words>
  <Characters>4325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Роль системы саморегулирования в строительстве обсудили в ТПП РФ</vt:lpstr>
    </vt:vector>
  </TitlesOfParts>
  <Company>Krokoz™</Company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АРЕФЬЕВ В.А.</cp:lastModifiedBy>
  <cp:revision>4</cp:revision>
  <cp:lastPrinted>2022-03-14T09:55:00Z</cp:lastPrinted>
  <dcterms:created xsi:type="dcterms:W3CDTF">2022-08-22T06:46:00Z</dcterms:created>
  <dcterms:modified xsi:type="dcterms:W3CDTF">2022-08-22T06:47:00Z</dcterms:modified>
</cp:coreProperties>
</file>